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D9CD" w14:textId="77777777" w:rsidR="002C51EB" w:rsidRDefault="002C51EB" w:rsidP="008F51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C51EB">
        <w:rPr>
          <w:rFonts w:ascii="Times New Roman" w:hAnsi="Times New Roman" w:cs="Times New Roman"/>
          <w:b/>
          <w:bCs/>
          <w:i/>
          <w:iCs/>
          <w:sz w:val="32"/>
          <w:szCs w:val="32"/>
        </w:rPr>
        <w:t>Appel à communications</w:t>
      </w:r>
    </w:p>
    <w:p w14:paraId="537FA93A" w14:textId="77777777" w:rsidR="0012327C" w:rsidRPr="002C51EB" w:rsidRDefault="0012327C" w:rsidP="008F51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56927DF9" w14:textId="7E6C2802" w:rsidR="008F5115" w:rsidRDefault="008F5115" w:rsidP="008F5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5115">
        <w:rPr>
          <w:rFonts w:ascii="Times New Roman" w:hAnsi="Times New Roman" w:cs="Times New Roman"/>
          <w:b/>
          <w:bCs/>
          <w:sz w:val="32"/>
          <w:szCs w:val="32"/>
        </w:rPr>
        <w:t xml:space="preserve">Les reconversions sociales </w:t>
      </w:r>
      <w:r w:rsidR="008300E8">
        <w:rPr>
          <w:rFonts w:ascii="Times New Roman" w:hAnsi="Times New Roman" w:cs="Times New Roman"/>
          <w:b/>
          <w:bCs/>
          <w:sz w:val="32"/>
          <w:szCs w:val="32"/>
        </w:rPr>
        <w:t>dans l’Europe de la Révolution</w:t>
      </w:r>
      <w:r w:rsidR="00B4269F">
        <w:rPr>
          <w:rFonts w:ascii="Times New Roman" w:hAnsi="Times New Roman" w:cs="Times New Roman"/>
          <w:b/>
          <w:bCs/>
          <w:sz w:val="32"/>
          <w:szCs w:val="32"/>
        </w:rPr>
        <w:t xml:space="preserve"> française et dans ses colonies</w:t>
      </w:r>
      <w:r w:rsidRPr="008F511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4EBDA71" w14:textId="53547BD7" w:rsidR="008F5115" w:rsidRPr="008F5115" w:rsidRDefault="008F5115" w:rsidP="008F5115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F5115">
        <w:rPr>
          <w:rFonts w:ascii="Times New Roman" w:hAnsi="Times New Roman" w:cs="Times New Roman"/>
          <w:i/>
          <w:iCs/>
          <w:sz w:val="28"/>
          <w:szCs w:val="28"/>
        </w:rPr>
        <w:t xml:space="preserve">Colloque international, Clermont-Ferrand, </w:t>
      </w:r>
      <w:r w:rsidR="00ED4F53">
        <w:rPr>
          <w:rFonts w:ascii="Times New Roman" w:hAnsi="Times New Roman" w:cs="Times New Roman"/>
          <w:i/>
          <w:iCs/>
          <w:sz w:val="28"/>
          <w:szCs w:val="28"/>
        </w:rPr>
        <w:t>19-20 octobre</w:t>
      </w:r>
      <w:r w:rsidRPr="008F5115">
        <w:rPr>
          <w:rFonts w:ascii="Times New Roman" w:hAnsi="Times New Roman" w:cs="Times New Roman"/>
          <w:i/>
          <w:iCs/>
          <w:sz w:val="28"/>
          <w:szCs w:val="28"/>
        </w:rPr>
        <w:t xml:space="preserve"> 2023</w:t>
      </w:r>
    </w:p>
    <w:p w14:paraId="04DFD9CD" w14:textId="77777777" w:rsidR="0024499E" w:rsidRDefault="0024499E" w:rsidP="0024499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 d’Histoire « Espaces &amp; Cultures » (CHEC), Institut universitaire de France (IUF),Société des études robespierristes (SER)</w:t>
      </w:r>
    </w:p>
    <w:p w14:paraId="10A4CD44" w14:textId="77777777" w:rsidR="0038301B" w:rsidRDefault="0038301B" w:rsidP="008F511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84674" w14:textId="129B9416" w:rsidR="008F5115" w:rsidRDefault="008F5115" w:rsidP="008F511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5115">
        <w:rPr>
          <w:rFonts w:ascii="Times New Roman" w:hAnsi="Times New Roman" w:cs="Times New Roman"/>
          <w:sz w:val="24"/>
          <w:szCs w:val="24"/>
        </w:rPr>
        <w:t xml:space="preserve">Les révolutions ont profondément marqué les sociétés européennes </w:t>
      </w:r>
      <w:r w:rsidR="00F0751B">
        <w:rPr>
          <w:rFonts w:ascii="Times New Roman" w:hAnsi="Times New Roman" w:cs="Times New Roman"/>
          <w:sz w:val="24"/>
          <w:szCs w:val="24"/>
        </w:rPr>
        <w:t xml:space="preserve">à partir </w:t>
      </w:r>
      <w:r w:rsidRPr="008F5115">
        <w:rPr>
          <w:rFonts w:ascii="Times New Roman" w:hAnsi="Times New Roman" w:cs="Times New Roman"/>
          <w:sz w:val="24"/>
          <w:szCs w:val="24"/>
        </w:rPr>
        <w:t>des années 1780. Remettant en cause l’ordre politique qui caractérisait ce que la postérité retiendra sous le nom d’ « Ancien Régime », elles en ont aussi durablement bouleversé</w:t>
      </w:r>
      <w:r w:rsidR="00F83471">
        <w:rPr>
          <w:rFonts w:ascii="Times New Roman" w:hAnsi="Times New Roman" w:cs="Times New Roman"/>
          <w:sz w:val="24"/>
          <w:szCs w:val="24"/>
        </w:rPr>
        <w:t>, mais différemment selon les périodes et les espaces,</w:t>
      </w:r>
      <w:r w:rsidRPr="008F5115">
        <w:rPr>
          <w:rFonts w:ascii="Times New Roman" w:hAnsi="Times New Roman" w:cs="Times New Roman"/>
          <w:sz w:val="24"/>
          <w:szCs w:val="24"/>
        </w:rPr>
        <w:t xml:space="preserve"> l’ordre social. </w:t>
      </w:r>
      <w:r>
        <w:rPr>
          <w:rFonts w:ascii="Times New Roman" w:hAnsi="Times New Roman" w:cs="Times New Roman"/>
          <w:sz w:val="24"/>
          <w:szCs w:val="24"/>
        </w:rPr>
        <w:t xml:space="preserve">La remise en cause des Églises, les </w:t>
      </w:r>
      <w:r w:rsidR="00B27A77">
        <w:rPr>
          <w:rFonts w:ascii="Times New Roman" w:hAnsi="Times New Roman" w:cs="Times New Roman"/>
          <w:sz w:val="24"/>
          <w:szCs w:val="24"/>
        </w:rPr>
        <w:t>exils</w:t>
      </w:r>
      <w:r w:rsidR="001538F2">
        <w:rPr>
          <w:rFonts w:ascii="Times New Roman" w:hAnsi="Times New Roman" w:cs="Times New Roman"/>
          <w:sz w:val="24"/>
          <w:szCs w:val="24"/>
        </w:rPr>
        <w:t xml:space="preserve"> choisis ou forcés</w:t>
      </w:r>
      <w:r w:rsidR="00B27A77">
        <w:rPr>
          <w:rFonts w:ascii="Times New Roman" w:hAnsi="Times New Roman" w:cs="Times New Roman"/>
          <w:sz w:val="24"/>
          <w:szCs w:val="24"/>
        </w:rPr>
        <w:t xml:space="preserve">, </w:t>
      </w:r>
      <w:r w:rsidR="00A24A2C">
        <w:rPr>
          <w:rFonts w:ascii="Times New Roman" w:hAnsi="Times New Roman" w:cs="Times New Roman"/>
          <w:sz w:val="24"/>
          <w:szCs w:val="24"/>
        </w:rPr>
        <w:t xml:space="preserve">les procès politiques, </w:t>
      </w:r>
      <w:r w:rsidR="00B27A77">
        <w:rPr>
          <w:rFonts w:ascii="Times New Roman" w:hAnsi="Times New Roman" w:cs="Times New Roman"/>
          <w:sz w:val="24"/>
          <w:szCs w:val="24"/>
        </w:rPr>
        <w:t>les guerres ont créé contraintes et attentes</w:t>
      </w:r>
      <w:r w:rsidR="00E75002">
        <w:rPr>
          <w:rFonts w:ascii="Times New Roman" w:hAnsi="Times New Roman" w:cs="Times New Roman"/>
          <w:sz w:val="24"/>
          <w:szCs w:val="24"/>
        </w:rPr>
        <w:t xml:space="preserve"> dans une Europe occidentale marquée par </w:t>
      </w:r>
      <w:r w:rsidR="00D976D8">
        <w:rPr>
          <w:rFonts w:ascii="Times New Roman" w:hAnsi="Times New Roman" w:cs="Times New Roman"/>
          <w:sz w:val="24"/>
          <w:szCs w:val="24"/>
        </w:rPr>
        <w:t>les occupations françaises</w:t>
      </w:r>
      <w:r w:rsidR="00B27A77">
        <w:rPr>
          <w:rFonts w:ascii="Times New Roman" w:hAnsi="Times New Roman" w:cs="Times New Roman"/>
          <w:sz w:val="24"/>
          <w:szCs w:val="24"/>
        </w:rPr>
        <w:t>. La force des événements, la vente des biens nationaux, le redécoupage des frontières</w:t>
      </w:r>
      <w:r w:rsidR="00995B6B">
        <w:rPr>
          <w:rFonts w:ascii="Times New Roman" w:hAnsi="Times New Roman" w:cs="Times New Roman"/>
          <w:sz w:val="24"/>
          <w:szCs w:val="24"/>
        </w:rPr>
        <w:t xml:space="preserve">, </w:t>
      </w:r>
      <w:r w:rsidR="00E41D9E">
        <w:rPr>
          <w:rFonts w:ascii="Times New Roman" w:hAnsi="Times New Roman" w:cs="Times New Roman"/>
          <w:sz w:val="24"/>
          <w:szCs w:val="24"/>
        </w:rPr>
        <w:t xml:space="preserve">la perte des colonies, </w:t>
      </w:r>
      <w:r w:rsidR="00995B6B">
        <w:rPr>
          <w:rFonts w:ascii="Times New Roman" w:hAnsi="Times New Roman" w:cs="Times New Roman"/>
          <w:sz w:val="24"/>
          <w:szCs w:val="24"/>
        </w:rPr>
        <w:t>l’installation de nouvelles administrations ont rendu difficile</w:t>
      </w:r>
      <w:r w:rsidR="002B0BD9">
        <w:rPr>
          <w:rFonts w:ascii="Times New Roman" w:hAnsi="Times New Roman" w:cs="Times New Roman"/>
          <w:sz w:val="24"/>
          <w:szCs w:val="24"/>
        </w:rPr>
        <w:t>s</w:t>
      </w:r>
      <w:r w:rsidR="00995B6B">
        <w:rPr>
          <w:rFonts w:ascii="Times New Roman" w:hAnsi="Times New Roman" w:cs="Times New Roman"/>
          <w:sz w:val="24"/>
          <w:szCs w:val="24"/>
        </w:rPr>
        <w:t xml:space="preserve"> les retours en arrière</w:t>
      </w:r>
      <w:r w:rsidR="00E36BE8">
        <w:rPr>
          <w:rFonts w:ascii="Times New Roman" w:hAnsi="Times New Roman" w:cs="Times New Roman"/>
          <w:sz w:val="24"/>
          <w:szCs w:val="24"/>
        </w:rPr>
        <w:t xml:space="preserve"> jusqu’à la Restauration et au-delà</w:t>
      </w:r>
      <w:r w:rsidR="00995B6B">
        <w:rPr>
          <w:rFonts w:ascii="Times New Roman" w:hAnsi="Times New Roman" w:cs="Times New Roman"/>
          <w:sz w:val="24"/>
          <w:szCs w:val="24"/>
        </w:rPr>
        <w:t xml:space="preserve">. </w:t>
      </w:r>
      <w:r w:rsidR="00B27A77">
        <w:rPr>
          <w:rFonts w:ascii="Times New Roman" w:hAnsi="Times New Roman" w:cs="Times New Roman"/>
          <w:sz w:val="24"/>
          <w:szCs w:val="24"/>
        </w:rPr>
        <w:t>La réinvention des systèmes scolaires, la libéralisation des économies, les fonctions électives, la disparition ou la reconfiguration du monde académique</w:t>
      </w:r>
      <w:r w:rsidR="00995B6B">
        <w:rPr>
          <w:rFonts w:ascii="Times New Roman" w:hAnsi="Times New Roman" w:cs="Times New Roman"/>
          <w:sz w:val="24"/>
          <w:szCs w:val="24"/>
        </w:rPr>
        <w:t xml:space="preserve">, les projets </w:t>
      </w:r>
      <w:r w:rsidR="00947E69">
        <w:rPr>
          <w:rFonts w:ascii="Times New Roman" w:hAnsi="Times New Roman" w:cs="Times New Roman"/>
          <w:sz w:val="24"/>
          <w:szCs w:val="24"/>
        </w:rPr>
        <w:t>communautair</w:t>
      </w:r>
      <w:r w:rsidR="00995B6B">
        <w:rPr>
          <w:rFonts w:ascii="Times New Roman" w:hAnsi="Times New Roman" w:cs="Times New Roman"/>
          <w:sz w:val="24"/>
          <w:szCs w:val="24"/>
        </w:rPr>
        <w:t>es</w:t>
      </w:r>
      <w:r w:rsidR="00B27A77">
        <w:rPr>
          <w:rFonts w:ascii="Times New Roman" w:hAnsi="Times New Roman" w:cs="Times New Roman"/>
          <w:sz w:val="24"/>
          <w:szCs w:val="24"/>
        </w:rPr>
        <w:t xml:space="preserve"> ont créé de nouveaux horizons d’attente. L</w:t>
      </w:r>
      <w:r w:rsidR="00995B6B">
        <w:rPr>
          <w:rFonts w:ascii="Times New Roman" w:hAnsi="Times New Roman" w:cs="Times New Roman"/>
          <w:sz w:val="24"/>
          <w:szCs w:val="24"/>
        </w:rPr>
        <w:t>es</w:t>
      </w:r>
      <w:r w:rsidR="00B27A77">
        <w:rPr>
          <w:rFonts w:ascii="Times New Roman" w:hAnsi="Times New Roman" w:cs="Times New Roman"/>
          <w:sz w:val="24"/>
          <w:szCs w:val="24"/>
        </w:rPr>
        <w:t xml:space="preserve"> notion</w:t>
      </w:r>
      <w:r w:rsidR="00995B6B">
        <w:rPr>
          <w:rFonts w:ascii="Times New Roman" w:hAnsi="Times New Roman" w:cs="Times New Roman"/>
          <w:sz w:val="24"/>
          <w:szCs w:val="24"/>
        </w:rPr>
        <w:t>s</w:t>
      </w:r>
      <w:r w:rsidR="00B27A77">
        <w:rPr>
          <w:rFonts w:ascii="Times New Roman" w:hAnsi="Times New Roman" w:cs="Times New Roman"/>
          <w:sz w:val="24"/>
          <w:szCs w:val="24"/>
        </w:rPr>
        <w:t xml:space="preserve"> d’utilité publique, </w:t>
      </w:r>
      <w:r w:rsidR="00995B6B">
        <w:rPr>
          <w:rFonts w:ascii="Times New Roman" w:hAnsi="Times New Roman" w:cs="Times New Roman"/>
          <w:sz w:val="24"/>
          <w:szCs w:val="24"/>
        </w:rPr>
        <w:t xml:space="preserve">de mérite, la sanctification du travail, </w:t>
      </w:r>
      <w:r w:rsidR="00B27A77">
        <w:rPr>
          <w:rFonts w:ascii="Times New Roman" w:hAnsi="Times New Roman" w:cs="Times New Roman"/>
          <w:sz w:val="24"/>
          <w:szCs w:val="24"/>
        </w:rPr>
        <w:t>la philanthropie, les luttes pour l’égalité ont modifié les critères de la reconnaissance sociale.</w:t>
      </w:r>
      <w:r w:rsidR="00995B6B">
        <w:rPr>
          <w:rFonts w:ascii="Times New Roman" w:hAnsi="Times New Roman" w:cs="Times New Roman"/>
          <w:sz w:val="24"/>
          <w:szCs w:val="24"/>
        </w:rPr>
        <w:t xml:space="preserve"> Pour autant, si l’imagerie a souvent mis en avant </w:t>
      </w:r>
      <w:r w:rsidR="007A0904">
        <w:rPr>
          <w:rFonts w:ascii="Times New Roman" w:hAnsi="Times New Roman" w:cs="Times New Roman"/>
          <w:sz w:val="24"/>
          <w:szCs w:val="24"/>
        </w:rPr>
        <w:t>les refoulés des temps caduques et les parvenus des temps nouveaux, des puissances demeurent et se sont adaptées, fondées sur la propriété foncière</w:t>
      </w:r>
      <w:r w:rsidR="00ED2D9D">
        <w:rPr>
          <w:rFonts w:ascii="Times New Roman" w:hAnsi="Times New Roman" w:cs="Times New Roman"/>
          <w:sz w:val="24"/>
          <w:szCs w:val="24"/>
        </w:rPr>
        <w:t xml:space="preserve"> (dont </w:t>
      </w:r>
      <w:r w:rsidR="0043368C">
        <w:rPr>
          <w:rFonts w:ascii="Times New Roman" w:hAnsi="Times New Roman" w:cs="Times New Roman"/>
          <w:sz w:val="24"/>
          <w:szCs w:val="24"/>
        </w:rPr>
        <w:t>la répartition est en partie rebattue par la vente des biens nationaux)</w:t>
      </w:r>
      <w:r w:rsidR="007A0904">
        <w:rPr>
          <w:rFonts w:ascii="Times New Roman" w:hAnsi="Times New Roman" w:cs="Times New Roman"/>
          <w:sz w:val="24"/>
          <w:szCs w:val="24"/>
        </w:rPr>
        <w:t xml:space="preserve">, l’industrie, la banque, </w:t>
      </w:r>
      <w:r w:rsidR="008E00D6">
        <w:rPr>
          <w:rFonts w:ascii="Times New Roman" w:hAnsi="Times New Roman" w:cs="Times New Roman"/>
          <w:sz w:val="24"/>
          <w:szCs w:val="24"/>
        </w:rPr>
        <w:t xml:space="preserve">le patronat artisanal, </w:t>
      </w:r>
      <w:r w:rsidR="007A0904">
        <w:rPr>
          <w:rFonts w:ascii="Times New Roman" w:hAnsi="Times New Roman" w:cs="Times New Roman"/>
          <w:sz w:val="24"/>
          <w:szCs w:val="24"/>
        </w:rPr>
        <w:t>riches de leurs parentèles et de leurs clientèles.</w:t>
      </w:r>
      <w:r w:rsidR="009152CB">
        <w:rPr>
          <w:rFonts w:ascii="Times New Roman" w:hAnsi="Times New Roman" w:cs="Times New Roman"/>
          <w:sz w:val="24"/>
          <w:szCs w:val="24"/>
        </w:rPr>
        <w:t xml:space="preserve"> L</w:t>
      </w:r>
      <w:r w:rsidR="005675D1">
        <w:rPr>
          <w:rFonts w:ascii="Times New Roman" w:hAnsi="Times New Roman" w:cs="Times New Roman"/>
          <w:sz w:val="24"/>
          <w:szCs w:val="24"/>
        </w:rPr>
        <w:t>es identités ne sont pas toutes définitivement perdues ou redéfinies</w:t>
      </w:r>
      <w:r w:rsidR="008A2B0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A2B00">
        <w:rPr>
          <w:rFonts w:ascii="Times New Roman" w:hAnsi="Times New Roman" w:cs="Times New Roman"/>
          <w:sz w:val="24"/>
          <w:szCs w:val="24"/>
        </w:rPr>
        <w:t>loin s’en faut</w:t>
      </w:r>
      <w:proofErr w:type="gramEnd"/>
      <w:r w:rsidR="00FC2799">
        <w:rPr>
          <w:rFonts w:ascii="Times New Roman" w:hAnsi="Times New Roman" w:cs="Times New Roman"/>
          <w:sz w:val="24"/>
          <w:szCs w:val="24"/>
        </w:rPr>
        <w:t>. E</w:t>
      </w:r>
      <w:r w:rsidR="00B96BF8">
        <w:rPr>
          <w:rFonts w:ascii="Times New Roman" w:hAnsi="Times New Roman" w:cs="Times New Roman"/>
          <w:sz w:val="24"/>
          <w:szCs w:val="24"/>
        </w:rPr>
        <w:t>lles perdurent dans le traditionalisme</w:t>
      </w:r>
      <w:r w:rsidR="000E1C5E">
        <w:rPr>
          <w:rFonts w:ascii="Times New Roman" w:hAnsi="Times New Roman" w:cs="Times New Roman"/>
          <w:sz w:val="24"/>
          <w:szCs w:val="24"/>
        </w:rPr>
        <w:t xml:space="preserve"> </w:t>
      </w:r>
      <w:r w:rsidR="002248C5">
        <w:rPr>
          <w:rFonts w:ascii="Times New Roman" w:hAnsi="Times New Roman" w:cs="Times New Roman"/>
          <w:sz w:val="24"/>
          <w:szCs w:val="24"/>
        </w:rPr>
        <w:t xml:space="preserve">qui motive </w:t>
      </w:r>
      <w:r w:rsidR="00A76016">
        <w:rPr>
          <w:rFonts w:ascii="Times New Roman" w:hAnsi="Times New Roman" w:cs="Times New Roman"/>
          <w:sz w:val="24"/>
          <w:szCs w:val="24"/>
        </w:rPr>
        <w:t>les hérauts de l</w:t>
      </w:r>
      <w:r w:rsidR="0062094A">
        <w:rPr>
          <w:rFonts w:ascii="Times New Roman" w:hAnsi="Times New Roman" w:cs="Times New Roman"/>
          <w:sz w:val="24"/>
          <w:szCs w:val="24"/>
        </w:rPr>
        <w:t>a</w:t>
      </w:r>
      <w:r w:rsidR="00A76016">
        <w:rPr>
          <w:rFonts w:ascii="Times New Roman" w:hAnsi="Times New Roman" w:cs="Times New Roman"/>
          <w:sz w:val="24"/>
          <w:szCs w:val="24"/>
        </w:rPr>
        <w:t xml:space="preserve"> réaction</w:t>
      </w:r>
      <w:r w:rsidR="008A2B00">
        <w:rPr>
          <w:rFonts w:ascii="Times New Roman" w:hAnsi="Times New Roman" w:cs="Times New Roman"/>
          <w:sz w:val="24"/>
          <w:szCs w:val="24"/>
        </w:rPr>
        <w:t>,</w:t>
      </w:r>
      <w:r w:rsidR="006B3FE2">
        <w:rPr>
          <w:rFonts w:ascii="Times New Roman" w:hAnsi="Times New Roman" w:cs="Times New Roman"/>
          <w:sz w:val="24"/>
          <w:szCs w:val="24"/>
        </w:rPr>
        <w:t xml:space="preserve"> dans la cohabitation </w:t>
      </w:r>
      <w:r w:rsidR="005A0762">
        <w:rPr>
          <w:rFonts w:ascii="Times New Roman" w:hAnsi="Times New Roman" w:cs="Times New Roman"/>
          <w:sz w:val="24"/>
          <w:szCs w:val="24"/>
        </w:rPr>
        <w:t>des élites</w:t>
      </w:r>
      <w:r w:rsidR="006E6CD0">
        <w:rPr>
          <w:rFonts w:ascii="Times New Roman" w:hAnsi="Times New Roman" w:cs="Times New Roman"/>
          <w:sz w:val="24"/>
          <w:szCs w:val="24"/>
        </w:rPr>
        <w:t xml:space="preserve"> </w:t>
      </w:r>
      <w:r w:rsidR="00383BDB">
        <w:rPr>
          <w:rFonts w:ascii="Times New Roman" w:hAnsi="Times New Roman" w:cs="Times New Roman"/>
          <w:sz w:val="24"/>
          <w:szCs w:val="24"/>
        </w:rPr>
        <w:t>des régimes successifs</w:t>
      </w:r>
      <w:r w:rsidR="005A0762">
        <w:rPr>
          <w:rFonts w:ascii="Times New Roman" w:hAnsi="Times New Roman" w:cs="Times New Roman"/>
          <w:sz w:val="24"/>
          <w:szCs w:val="24"/>
        </w:rPr>
        <w:t>,</w:t>
      </w:r>
      <w:r w:rsidR="008A2B00">
        <w:rPr>
          <w:rFonts w:ascii="Times New Roman" w:hAnsi="Times New Roman" w:cs="Times New Roman"/>
          <w:sz w:val="24"/>
          <w:szCs w:val="24"/>
        </w:rPr>
        <w:t xml:space="preserve"> dans le maintien de profession</w:t>
      </w:r>
      <w:r w:rsidR="0062094A">
        <w:rPr>
          <w:rFonts w:ascii="Times New Roman" w:hAnsi="Times New Roman" w:cs="Times New Roman"/>
          <w:sz w:val="24"/>
          <w:szCs w:val="24"/>
        </w:rPr>
        <w:t>s</w:t>
      </w:r>
      <w:r w:rsidR="008A2B00">
        <w:rPr>
          <w:rFonts w:ascii="Times New Roman" w:hAnsi="Times New Roman" w:cs="Times New Roman"/>
          <w:sz w:val="24"/>
          <w:szCs w:val="24"/>
        </w:rPr>
        <w:t xml:space="preserve"> anciennes (notamment dans le domaine du droit, du notariat)</w:t>
      </w:r>
      <w:r w:rsidR="00B96BF8">
        <w:rPr>
          <w:rFonts w:ascii="Times New Roman" w:hAnsi="Times New Roman" w:cs="Times New Roman"/>
          <w:sz w:val="24"/>
          <w:szCs w:val="24"/>
        </w:rPr>
        <w:t xml:space="preserve"> ou se réinventent </w:t>
      </w:r>
      <w:r w:rsidR="00B3350E">
        <w:rPr>
          <w:rFonts w:ascii="Times New Roman" w:hAnsi="Times New Roman" w:cs="Times New Roman"/>
          <w:sz w:val="24"/>
          <w:szCs w:val="24"/>
        </w:rPr>
        <w:t>à</w:t>
      </w:r>
      <w:r w:rsidR="00B96BF8">
        <w:rPr>
          <w:rFonts w:ascii="Times New Roman" w:hAnsi="Times New Roman" w:cs="Times New Roman"/>
          <w:sz w:val="24"/>
          <w:szCs w:val="24"/>
        </w:rPr>
        <w:t xml:space="preserve"> minima</w:t>
      </w:r>
      <w:r w:rsidR="00453EE6">
        <w:rPr>
          <w:rFonts w:ascii="Times New Roman" w:hAnsi="Times New Roman" w:cs="Times New Roman"/>
          <w:sz w:val="24"/>
          <w:szCs w:val="24"/>
        </w:rPr>
        <w:t xml:space="preserve"> en s’adaptant aux nouvelles lois</w:t>
      </w:r>
      <w:r w:rsidR="00B96BF8">
        <w:rPr>
          <w:rFonts w:ascii="Times New Roman" w:hAnsi="Times New Roman" w:cs="Times New Roman"/>
          <w:sz w:val="24"/>
          <w:szCs w:val="24"/>
        </w:rPr>
        <w:t>.</w:t>
      </w:r>
    </w:p>
    <w:p w14:paraId="7A4352DB" w14:textId="77777777" w:rsidR="00834930" w:rsidRDefault="004643E7" w:rsidP="008F511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quoi les révolutions sont-elles des accélérateurs de</w:t>
      </w:r>
      <w:r w:rsidR="00995B6B">
        <w:rPr>
          <w:rFonts w:ascii="Times New Roman" w:hAnsi="Times New Roman" w:cs="Times New Roman"/>
          <w:sz w:val="24"/>
          <w:szCs w:val="24"/>
        </w:rPr>
        <w:t xml:space="preserve"> ce grand maelström social que nous souhaitons étudier sur deux générations pour mieux en mesurer les héritages immédiats</w:t>
      </w:r>
      <w:r>
        <w:rPr>
          <w:rFonts w:ascii="Times New Roman" w:hAnsi="Times New Roman" w:cs="Times New Roman"/>
          <w:sz w:val="24"/>
          <w:szCs w:val="24"/>
        </w:rPr>
        <w:t> ? Q</w:t>
      </w:r>
      <w:r w:rsidR="00995B6B">
        <w:rPr>
          <w:rFonts w:ascii="Times New Roman" w:hAnsi="Times New Roman" w:cs="Times New Roman"/>
          <w:sz w:val="24"/>
          <w:szCs w:val="24"/>
        </w:rPr>
        <w:t>uelle</w:t>
      </w:r>
      <w:r w:rsidR="007A0904">
        <w:rPr>
          <w:rFonts w:ascii="Times New Roman" w:hAnsi="Times New Roman" w:cs="Times New Roman"/>
          <w:sz w:val="24"/>
          <w:szCs w:val="24"/>
        </w:rPr>
        <w:t xml:space="preserve"> est la réalité de la fluidité sociale, les possibilités et les limites des reconversions ? Des musiciens sortis de la protection des chapitres pour servir théâtres et armées aux nobles et planteurs ruinés mettant à profit leurs connaissances du théâtre de société pour monter des troupes professionnelles, des ci-devant investissant par l’intermédiaire de pr</w:t>
      </w:r>
      <w:r w:rsidR="0038301B">
        <w:rPr>
          <w:rFonts w:ascii="Times New Roman" w:hAnsi="Times New Roman" w:cs="Times New Roman"/>
          <w:sz w:val="24"/>
          <w:szCs w:val="24"/>
        </w:rPr>
        <w:t xml:space="preserve">ête-noms ou sous couvert d’anonymat aux fournisseurs des armées peu scrupuleux, </w:t>
      </w:r>
      <w:r w:rsidR="00E13563">
        <w:rPr>
          <w:rFonts w:ascii="Times New Roman" w:hAnsi="Times New Roman" w:cs="Times New Roman"/>
          <w:sz w:val="24"/>
          <w:szCs w:val="24"/>
        </w:rPr>
        <w:t xml:space="preserve">des planteurs de Saint-Domingue réinvestissant ce qui leur reste de fortune </w:t>
      </w:r>
      <w:r w:rsidR="00804C03">
        <w:rPr>
          <w:rFonts w:ascii="Times New Roman" w:hAnsi="Times New Roman" w:cs="Times New Roman"/>
          <w:sz w:val="24"/>
          <w:szCs w:val="24"/>
        </w:rPr>
        <w:t xml:space="preserve">en Europe ou en Amérique du Nord aux petites mains des théâtres sortant de l’ombre pour fouler </w:t>
      </w:r>
      <w:r w:rsidR="006E7CF3">
        <w:rPr>
          <w:rFonts w:ascii="Times New Roman" w:hAnsi="Times New Roman" w:cs="Times New Roman"/>
          <w:sz w:val="24"/>
          <w:szCs w:val="24"/>
        </w:rPr>
        <w:t xml:space="preserve">la scène, </w:t>
      </w:r>
      <w:r w:rsidR="0038301B">
        <w:rPr>
          <w:rFonts w:ascii="Times New Roman" w:hAnsi="Times New Roman" w:cs="Times New Roman"/>
          <w:sz w:val="24"/>
          <w:szCs w:val="24"/>
        </w:rPr>
        <w:t>les trajectoires individuelles</w:t>
      </w:r>
      <w:r w:rsidR="00C11104">
        <w:rPr>
          <w:rFonts w:ascii="Times New Roman" w:hAnsi="Times New Roman" w:cs="Times New Roman"/>
          <w:sz w:val="24"/>
          <w:szCs w:val="24"/>
        </w:rPr>
        <w:t xml:space="preserve"> </w:t>
      </w:r>
      <w:r w:rsidR="0038301B">
        <w:rPr>
          <w:rFonts w:ascii="Times New Roman" w:hAnsi="Times New Roman" w:cs="Times New Roman"/>
          <w:sz w:val="24"/>
          <w:szCs w:val="24"/>
        </w:rPr>
        <w:t xml:space="preserve">ne manquent pas pour illustrer le thème. </w:t>
      </w:r>
      <w:r w:rsidR="00B01A68">
        <w:rPr>
          <w:rFonts w:ascii="Times New Roman" w:hAnsi="Times New Roman" w:cs="Times New Roman"/>
          <w:sz w:val="24"/>
          <w:szCs w:val="24"/>
        </w:rPr>
        <w:t xml:space="preserve">Mais </w:t>
      </w:r>
      <w:r w:rsidR="00E660DD">
        <w:rPr>
          <w:rFonts w:ascii="Times New Roman" w:hAnsi="Times New Roman" w:cs="Times New Roman"/>
          <w:sz w:val="24"/>
          <w:szCs w:val="24"/>
        </w:rPr>
        <w:t>l’on n’omettra pas les soubresauts erratiques</w:t>
      </w:r>
      <w:r w:rsidR="0095762F">
        <w:rPr>
          <w:rFonts w:ascii="Times New Roman" w:hAnsi="Times New Roman" w:cs="Times New Roman"/>
          <w:sz w:val="24"/>
          <w:szCs w:val="24"/>
        </w:rPr>
        <w:t xml:space="preserve">, la fragilité </w:t>
      </w:r>
      <w:r w:rsidR="00E660DD">
        <w:rPr>
          <w:rFonts w:ascii="Times New Roman" w:hAnsi="Times New Roman" w:cs="Times New Roman"/>
          <w:sz w:val="24"/>
          <w:szCs w:val="24"/>
        </w:rPr>
        <w:t>des carrières</w:t>
      </w:r>
      <w:r w:rsidR="0095762F">
        <w:rPr>
          <w:rFonts w:ascii="Times New Roman" w:hAnsi="Times New Roman" w:cs="Times New Roman"/>
          <w:sz w:val="24"/>
          <w:szCs w:val="24"/>
        </w:rPr>
        <w:t>, les situations temporaires ou définitives de déclassement</w:t>
      </w:r>
      <w:r w:rsidR="00DF03AC">
        <w:rPr>
          <w:rFonts w:ascii="Times New Roman" w:hAnsi="Times New Roman" w:cs="Times New Roman"/>
          <w:sz w:val="24"/>
          <w:szCs w:val="24"/>
        </w:rPr>
        <w:t xml:space="preserve"> – jusqu’aux affres </w:t>
      </w:r>
      <w:r w:rsidR="004A72C9">
        <w:rPr>
          <w:rFonts w:ascii="Times New Roman" w:hAnsi="Times New Roman" w:cs="Times New Roman"/>
          <w:sz w:val="24"/>
          <w:szCs w:val="24"/>
        </w:rPr>
        <w:t xml:space="preserve">de la mendicité, </w:t>
      </w:r>
      <w:r w:rsidR="00DF03AC">
        <w:rPr>
          <w:rFonts w:ascii="Times New Roman" w:hAnsi="Times New Roman" w:cs="Times New Roman"/>
          <w:sz w:val="24"/>
          <w:szCs w:val="24"/>
        </w:rPr>
        <w:t>de la prostitution</w:t>
      </w:r>
      <w:r w:rsidR="004D34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8A6AD" w14:textId="13B9B93B" w:rsidR="00995B6B" w:rsidRDefault="0038301B" w:rsidP="008F511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Peut-on, se penchant sur le tissu social le plus large, distinguer des caractéristiques </w:t>
      </w:r>
      <w:r w:rsidR="00044749">
        <w:rPr>
          <w:rFonts w:ascii="Times New Roman" w:hAnsi="Times New Roman" w:cs="Times New Roman"/>
          <w:sz w:val="24"/>
          <w:szCs w:val="24"/>
        </w:rPr>
        <w:t>voisin</w:t>
      </w:r>
      <w:r>
        <w:rPr>
          <w:rFonts w:ascii="Times New Roman" w:hAnsi="Times New Roman" w:cs="Times New Roman"/>
          <w:sz w:val="24"/>
          <w:szCs w:val="24"/>
        </w:rPr>
        <w:t>es aux adaptations individuelles</w:t>
      </w:r>
      <w:r w:rsidR="00907997">
        <w:rPr>
          <w:rFonts w:ascii="Times New Roman" w:hAnsi="Times New Roman" w:cs="Times New Roman"/>
          <w:sz w:val="24"/>
          <w:szCs w:val="24"/>
        </w:rPr>
        <w:t>, aux dynamiques collectives</w:t>
      </w:r>
      <w:r>
        <w:rPr>
          <w:rFonts w:ascii="Times New Roman" w:hAnsi="Times New Roman" w:cs="Times New Roman"/>
          <w:sz w:val="24"/>
          <w:szCs w:val="24"/>
        </w:rPr>
        <w:t xml:space="preserve"> : poids </w:t>
      </w:r>
      <w:r w:rsidR="009215C3">
        <w:rPr>
          <w:rFonts w:ascii="Times New Roman" w:hAnsi="Times New Roman" w:cs="Times New Roman"/>
          <w:sz w:val="24"/>
          <w:szCs w:val="24"/>
        </w:rPr>
        <w:t xml:space="preserve">du moment économique, </w:t>
      </w:r>
      <w:r>
        <w:rPr>
          <w:rFonts w:ascii="Times New Roman" w:hAnsi="Times New Roman" w:cs="Times New Roman"/>
          <w:sz w:val="24"/>
          <w:szCs w:val="24"/>
        </w:rPr>
        <w:t>du militantisme, du savoir, de la langue, des réseaux, de la découverte d’une géographie extra-paroissiale, du goût pour l’aventure, etc. ?</w:t>
      </w:r>
      <w:r w:rsidR="00FB6B9D">
        <w:rPr>
          <w:rFonts w:ascii="Times New Roman" w:hAnsi="Times New Roman" w:cs="Times New Roman"/>
          <w:sz w:val="24"/>
          <w:szCs w:val="24"/>
        </w:rPr>
        <w:t xml:space="preserve"> Comment se coalisent les espoirs particuliers et communs dans des expéditions (militaires, scientifiques, utopiques) au-delà des frontières nationales ?</w:t>
      </w:r>
      <w:r w:rsidR="0033029A">
        <w:rPr>
          <w:rFonts w:ascii="Times New Roman" w:hAnsi="Times New Roman" w:cs="Times New Roman"/>
          <w:sz w:val="24"/>
          <w:szCs w:val="24"/>
        </w:rPr>
        <w:t xml:space="preserve"> </w:t>
      </w:r>
      <w:r w:rsidR="006E0410">
        <w:rPr>
          <w:rFonts w:ascii="Times New Roman" w:hAnsi="Times New Roman" w:cs="Times New Roman"/>
          <w:sz w:val="24"/>
          <w:szCs w:val="24"/>
        </w:rPr>
        <w:t>Sont-ils nombreux à avoir</w:t>
      </w:r>
      <w:r w:rsidR="00EE3414">
        <w:rPr>
          <w:rFonts w:ascii="Times New Roman" w:hAnsi="Times New Roman" w:cs="Times New Roman"/>
          <w:sz w:val="24"/>
          <w:szCs w:val="24"/>
        </w:rPr>
        <w:t xml:space="preserve"> profité d’un séjour contraint à l’étranger</w:t>
      </w:r>
      <w:r w:rsidR="005A659E">
        <w:rPr>
          <w:rFonts w:ascii="Times New Roman" w:hAnsi="Times New Roman" w:cs="Times New Roman"/>
          <w:sz w:val="24"/>
          <w:szCs w:val="24"/>
        </w:rPr>
        <w:t xml:space="preserve"> pour </w:t>
      </w:r>
      <w:r w:rsidR="005A659E">
        <w:rPr>
          <w:rFonts w:ascii="Times New Roman" w:hAnsi="Times New Roman" w:cs="Times New Roman"/>
          <w:sz w:val="24"/>
          <w:szCs w:val="24"/>
        </w:rPr>
        <w:lastRenderedPageBreak/>
        <w:t>opérer une reconversion professionnelle, accepté un changement de statut social</w:t>
      </w:r>
      <w:r w:rsidR="003D63A2">
        <w:rPr>
          <w:rFonts w:ascii="Times New Roman" w:hAnsi="Times New Roman" w:cs="Times New Roman"/>
          <w:sz w:val="24"/>
          <w:szCs w:val="24"/>
        </w:rPr>
        <w:t xml:space="preserve"> et les risques de l’échec</w:t>
      </w:r>
      <w:r w:rsidR="005A659E">
        <w:rPr>
          <w:rFonts w:ascii="Times New Roman" w:hAnsi="Times New Roman" w:cs="Times New Roman"/>
          <w:sz w:val="24"/>
          <w:szCs w:val="24"/>
        </w:rPr>
        <w:t xml:space="preserve"> ? </w:t>
      </w:r>
      <w:r w:rsidR="004A666E">
        <w:rPr>
          <w:rFonts w:ascii="Times New Roman" w:hAnsi="Times New Roman" w:cs="Times New Roman"/>
          <w:sz w:val="24"/>
          <w:szCs w:val="24"/>
        </w:rPr>
        <w:t>Combien à avoir bénéfici</w:t>
      </w:r>
      <w:r w:rsidR="005812FB">
        <w:rPr>
          <w:rFonts w:ascii="Times New Roman" w:hAnsi="Times New Roman" w:cs="Times New Roman"/>
          <w:sz w:val="24"/>
          <w:szCs w:val="24"/>
        </w:rPr>
        <w:t xml:space="preserve">é des promotions par l’armée ou à avoir construit un </w:t>
      </w:r>
      <w:r w:rsidR="005812FB" w:rsidRPr="005812FB">
        <w:rPr>
          <w:rFonts w:ascii="Times New Roman" w:hAnsi="Times New Roman" w:cs="Times New Roman"/>
          <w:i/>
          <w:iCs/>
          <w:sz w:val="24"/>
          <w:szCs w:val="24"/>
        </w:rPr>
        <w:t>cursus honorum</w:t>
      </w:r>
      <w:r w:rsidR="005812FB">
        <w:rPr>
          <w:rFonts w:ascii="Times New Roman" w:hAnsi="Times New Roman" w:cs="Times New Roman"/>
          <w:sz w:val="24"/>
          <w:szCs w:val="24"/>
        </w:rPr>
        <w:t xml:space="preserve"> par l’élection  ? </w:t>
      </w:r>
      <w:r w:rsidR="003A03DA">
        <w:rPr>
          <w:rFonts w:ascii="Times New Roman" w:hAnsi="Times New Roman" w:cs="Times New Roman"/>
          <w:sz w:val="24"/>
          <w:szCs w:val="24"/>
        </w:rPr>
        <w:t xml:space="preserve">Quelles voies empruntent </w:t>
      </w:r>
      <w:r w:rsidR="00CB41F7">
        <w:rPr>
          <w:rFonts w:ascii="Times New Roman" w:hAnsi="Times New Roman" w:cs="Times New Roman"/>
          <w:sz w:val="24"/>
          <w:szCs w:val="24"/>
        </w:rPr>
        <w:t>les femmes</w:t>
      </w:r>
      <w:r w:rsidR="001F5139">
        <w:rPr>
          <w:rFonts w:ascii="Times New Roman" w:hAnsi="Times New Roman" w:cs="Times New Roman"/>
          <w:sz w:val="24"/>
          <w:szCs w:val="24"/>
        </w:rPr>
        <w:t>, quelle place se font-elles</w:t>
      </w:r>
      <w:r w:rsidR="00CB41F7">
        <w:rPr>
          <w:rFonts w:ascii="Times New Roman" w:hAnsi="Times New Roman" w:cs="Times New Roman"/>
          <w:sz w:val="24"/>
          <w:szCs w:val="24"/>
        </w:rPr>
        <w:t xml:space="preserve"> dans ce paysage </w:t>
      </w:r>
      <w:r w:rsidR="00CD1F70">
        <w:rPr>
          <w:rFonts w:ascii="Times New Roman" w:hAnsi="Times New Roman" w:cs="Times New Roman"/>
          <w:sz w:val="24"/>
          <w:szCs w:val="24"/>
        </w:rPr>
        <w:t xml:space="preserve">dominé par le masculin ? </w:t>
      </w:r>
      <w:r w:rsidR="00265CD9">
        <w:rPr>
          <w:rFonts w:ascii="Times New Roman" w:hAnsi="Times New Roman" w:cs="Times New Roman"/>
          <w:sz w:val="24"/>
          <w:szCs w:val="24"/>
        </w:rPr>
        <w:t xml:space="preserve">L’on sait combien les élites </w:t>
      </w:r>
      <w:r w:rsidR="00F86133">
        <w:rPr>
          <w:rFonts w:ascii="Times New Roman" w:hAnsi="Times New Roman" w:cs="Times New Roman"/>
          <w:sz w:val="24"/>
          <w:szCs w:val="24"/>
        </w:rPr>
        <w:t>issues des révolutions ont majoritairement renvoyé à son enfance pulsionnelle et passionné</w:t>
      </w:r>
      <w:r w:rsidR="00FA177A">
        <w:rPr>
          <w:rFonts w:ascii="Times New Roman" w:hAnsi="Times New Roman" w:cs="Times New Roman"/>
          <w:sz w:val="24"/>
          <w:szCs w:val="24"/>
        </w:rPr>
        <w:t>e</w:t>
      </w:r>
      <w:r w:rsidR="00F86133">
        <w:rPr>
          <w:rFonts w:ascii="Times New Roman" w:hAnsi="Times New Roman" w:cs="Times New Roman"/>
          <w:sz w:val="24"/>
          <w:szCs w:val="24"/>
        </w:rPr>
        <w:t xml:space="preserve"> un « peuple-enfant » </w:t>
      </w:r>
      <w:r w:rsidR="008D673A">
        <w:rPr>
          <w:rFonts w:ascii="Times New Roman" w:hAnsi="Times New Roman" w:cs="Times New Roman"/>
          <w:sz w:val="24"/>
          <w:szCs w:val="24"/>
        </w:rPr>
        <w:t>vindicatif et incompris</w:t>
      </w:r>
      <w:r w:rsidR="003B69AC">
        <w:rPr>
          <w:rFonts w:ascii="Times New Roman" w:hAnsi="Times New Roman" w:cs="Times New Roman"/>
          <w:sz w:val="24"/>
          <w:szCs w:val="24"/>
        </w:rPr>
        <w:t>, duquel émergent pourtant des revendications politiques, professionnelles, salariales, identitaires. C</w:t>
      </w:r>
      <w:r w:rsidR="0033029A">
        <w:rPr>
          <w:rFonts w:ascii="Times New Roman" w:hAnsi="Times New Roman" w:cs="Times New Roman"/>
          <w:sz w:val="24"/>
          <w:szCs w:val="24"/>
        </w:rPr>
        <w:t xml:space="preserve">omment les nouveaux pouvoirs tiennent-ils compte et acceptent-ils </w:t>
      </w:r>
      <w:r w:rsidR="00C71B4B">
        <w:rPr>
          <w:rFonts w:ascii="Times New Roman" w:hAnsi="Times New Roman" w:cs="Times New Roman"/>
          <w:sz w:val="24"/>
          <w:szCs w:val="24"/>
        </w:rPr>
        <w:t>(les encourageant</w:t>
      </w:r>
      <w:r w:rsidR="008D673A">
        <w:rPr>
          <w:rFonts w:ascii="Times New Roman" w:hAnsi="Times New Roman" w:cs="Times New Roman"/>
          <w:sz w:val="24"/>
          <w:szCs w:val="24"/>
        </w:rPr>
        <w:t>,</w:t>
      </w:r>
      <w:r w:rsidR="00C71B4B">
        <w:rPr>
          <w:rFonts w:ascii="Times New Roman" w:hAnsi="Times New Roman" w:cs="Times New Roman"/>
          <w:sz w:val="24"/>
          <w:szCs w:val="24"/>
        </w:rPr>
        <w:t xml:space="preserve"> les dissuadant</w:t>
      </w:r>
      <w:r w:rsidR="008D673A">
        <w:rPr>
          <w:rFonts w:ascii="Times New Roman" w:hAnsi="Times New Roman" w:cs="Times New Roman"/>
          <w:sz w:val="24"/>
          <w:szCs w:val="24"/>
        </w:rPr>
        <w:t xml:space="preserve"> ou les contrôlant</w:t>
      </w:r>
      <w:r w:rsidR="00C71B4B">
        <w:rPr>
          <w:rFonts w:ascii="Times New Roman" w:hAnsi="Times New Roman" w:cs="Times New Roman"/>
          <w:sz w:val="24"/>
          <w:szCs w:val="24"/>
        </w:rPr>
        <w:t>) les m</w:t>
      </w:r>
      <w:r w:rsidR="00123327">
        <w:rPr>
          <w:rFonts w:ascii="Times New Roman" w:hAnsi="Times New Roman" w:cs="Times New Roman"/>
          <w:sz w:val="24"/>
          <w:szCs w:val="24"/>
        </w:rPr>
        <w:t>utations à l’œuvre ?</w:t>
      </w:r>
      <w:r w:rsidR="005772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E01D1" w14:textId="6F7CD314" w:rsidR="00920E17" w:rsidRDefault="00920E17" w:rsidP="008F511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question des représentations des reconversions réussies, temporaires, ou ratées, est donc essentielle.</w:t>
      </w:r>
      <w:r w:rsidR="00926660">
        <w:rPr>
          <w:rFonts w:ascii="Times New Roman" w:hAnsi="Times New Roman" w:cs="Times New Roman"/>
          <w:sz w:val="24"/>
          <w:szCs w:val="24"/>
        </w:rPr>
        <w:t xml:space="preserve"> Il faudra, d’une part, étudier le discours </w:t>
      </w:r>
      <w:r w:rsidR="00A35928">
        <w:rPr>
          <w:rFonts w:ascii="Times New Roman" w:hAnsi="Times New Roman" w:cs="Times New Roman"/>
          <w:sz w:val="24"/>
          <w:szCs w:val="24"/>
        </w:rPr>
        <w:t xml:space="preserve">officiel </w:t>
      </w:r>
      <w:r w:rsidR="00926660">
        <w:rPr>
          <w:rFonts w:ascii="Times New Roman" w:hAnsi="Times New Roman" w:cs="Times New Roman"/>
          <w:sz w:val="24"/>
          <w:szCs w:val="24"/>
        </w:rPr>
        <w:t xml:space="preserve">de légitimation </w:t>
      </w:r>
      <w:r w:rsidR="00A35928">
        <w:rPr>
          <w:rFonts w:ascii="Times New Roman" w:hAnsi="Times New Roman" w:cs="Times New Roman"/>
          <w:sz w:val="24"/>
          <w:szCs w:val="24"/>
        </w:rPr>
        <w:t xml:space="preserve">des nouvelles situations sociales </w:t>
      </w:r>
      <w:r w:rsidR="00492E93">
        <w:rPr>
          <w:rFonts w:ascii="Times New Roman" w:hAnsi="Times New Roman" w:cs="Times New Roman"/>
          <w:sz w:val="24"/>
          <w:szCs w:val="24"/>
        </w:rPr>
        <w:t xml:space="preserve">et dignités </w:t>
      </w:r>
      <w:r w:rsidR="00A35928">
        <w:rPr>
          <w:rFonts w:ascii="Times New Roman" w:hAnsi="Times New Roman" w:cs="Times New Roman"/>
          <w:sz w:val="24"/>
          <w:szCs w:val="24"/>
        </w:rPr>
        <w:t>nées des révolution</w:t>
      </w:r>
      <w:r w:rsidR="00492E93">
        <w:rPr>
          <w:rFonts w:ascii="Times New Roman" w:hAnsi="Times New Roman" w:cs="Times New Roman"/>
          <w:sz w:val="24"/>
          <w:szCs w:val="24"/>
        </w:rPr>
        <w:t xml:space="preserve">s – à l’inverse </w:t>
      </w:r>
      <w:r w:rsidR="00B17AE5">
        <w:rPr>
          <w:rFonts w:ascii="Times New Roman" w:hAnsi="Times New Roman" w:cs="Times New Roman"/>
          <w:sz w:val="24"/>
          <w:szCs w:val="24"/>
        </w:rPr>
        <w:t xml:space="preserve">mesurer les formes et les expressions du mépris et de l’exclusion. D’autre part, il faudra interroger </w:t>
      </w:r>
      <w:r w:rsidR="00E510EE">
        <w:rPr>
          <w:rFonts w:ascii="Times New Roman" w:hAnsi="Times New Roman" w:cs="Times New Roman"/>
          <w:sz w:val="24"/>
          <w:szCs w:val="24"/>
        </w:rPr>
        <w:t>les traces du for privé (journaux, mémoires, correspondances) pour appréhender la conscientisation de leur parcours</w:t>
      </w:r>
      <w:r w:rsidR="007A2630">
        <w:rPr>
          <w:rFonts w:ascii="Times New Roman" w:hAnsi="Times New Roman" w:cs="Times New Roman"/>
          <w:sz w:val="24"/>
          <w:szCs w:val="24"/>
        </w:rPr>
        <w:t xml:space="preserve"> par les promus et les bannis</w:t>
      </w:r>
      <w:r w:rsidR="00C27FD1">
        <w:rPr>
          <w:rFonts w:ascii="Times New Roman" w:hAnsi="Times New Roman" w:cs="Times New Roman"/>
          <w:sz w:val="24"/>
          <w:szCs w:val="24"/>
        </w:rPr>
        <w:t>, par leur famille et leurs proches</w:t>
      </w:r>
      <w:r w:rsidR="007A2630">
        <w:rPr>
          <w:rFonts w:ascii="Times New Roman" w:hAnsi="Times New Roman" w:cs="Times New Roman"/>
          <w:sz w:val="24"/>
          <w:szCs w:val="24"/>
        </w:rPr>
        <w:t>. Enfin</w:t>
      </w:r>
      <w:r w:rsidR="00AB53E0">
        <w:rPr>
          <w:rFonts w:ascii="Times New Roman" w:hAnsi="Times New Roman" w:cs="Times New Roman"/>
          <w:sz w:val="24"/>
          <w:szCs w:val="24"/>
        </w:rPr>
        <w:t xml:space="preserve"> sera mobilisée</w:t>
      </w:r>
      <w:r w:rsidR="007A2630">
        <w:rPr>
          <w:rFonts w:ascii="Times New Roman" w:hAnsi="Times New Roman" w:cs="Times New Roman"/>
          <w:sz w:val="24"/>
          <w:szCs w:val="24"/>
        </w:rPr>
        <w:t xml:space="preserve"> </w:t>
      </w:r>
      <w:r w:rsidR="00864F71">
        <w:rPr>
          <w:rFonts w:ascii="Times New Roman" w:hAnsi="Times New Roman" w:cs="Times New Roman"/>
          <w:sz w:val="24"/>
          <w:szCs w:val="24"/>
        </w:rPr>
        <w:t xml:space="preserve">la transcription picturale, </w:t>
      </w:r>
      <w:r w:rsidR="00976091">
        <w:rPr>
          <w:rFonts w:ascii="Times New Roman" w:hAnsi="Times New Roman" w:cs="Times New Roman"/>
          <w:sz w:val="24"/>
          <w:szCs w:val="24"/>
        </w:rPr>
        <w:t xml:space="preserve">iconographique, </w:t>
      </w:r>
      <w:r w:rsidR="00864F71">
        <w:rPr>
          <w:rFonts w:ascii="Times New Roman" w:hAnsi="Times New Roman" w:cs="Times New Roman"/>
          <w:sz w:val="24"/>
          <w:szCs w:val="24"/>
        </w:rPr>
        <w:t xml:space="preserve">littéraire, théâtrale </w:t>
      </w:r>
      <w:r w:rsidR="00AB53E0">
        <w:rPr>
          <w:rFonts w:ascii="Times New Roman" w:hAnsi="Times New Roman" w:cs="Times New Roman"/>
          <w:sz w:val="24"/>
          <w:szCs w:val="24"/>
        </w:rPr>
        <w:t xml:space="preserve">de </w:t>
      </w:r>
      <w:r w:rsidR="00CC6935">
        <w:rPr>
          <w:rFonts w:ascii="Times New Roman" w:hAnsi="Times New Roman" w:cs="Times New Roman"/>
          <w:sz w:val="24"/>
          <w:szCs w:val="24"/>
        </w:rPr>
        <w:t>la mobilité et de l’immobilité sociales.</w:t>
      </w:r>
      <w:r w:rsidR="00976091">
        <w:rPr>
          <w:rFonts w:ascii="Times New Roman" w:hAnsi="Times New Roman" w:cs="Times New Roman"/>
          <w:sz w:val="24"/>
          <w:szCs w:val="24"/>
        </w:rPr>
        <w:t xml:space="preserve"> </w:t>
      </w:r>
      <w:r w:rsidR="005B7E70">
        <w:rPr>
          <w:rFonts w:ascii="Times New Roman" w:hAnsi="Times New Roman" w:cs="Times New Roman"/>
          <w:sz w:val="24"/>
          <w:szCs w:val="24"/>
        </w:rPr>
        <w:t xml:space="preserve">Au-delà de l’égotisme des portraits, que nous apprend-elle des </w:t>
      </w:r>
      <w:r w:rsidR="00DE21E3">
        <w:rPr>
          <w:rFonts w:ascii="Times New Roman" w:hAnsi="Times New Roman" w:cs="Times New Roman"/>
          <w:sz w:val="24"/>
          <w:szCs w:val="24"/>
        </w:rPr>
        <w:t xml:space="preserve">catégories sociales issues de la Révolution, de la ronde des générations ? </w:t>
      </w:r>
      <w:r w:rsidR="00976091">
        <w:rPr>
          <w:rFonts w:ascii="Times New Roman" w:hAnsi="Times New Roman" w:cs="Times New Roman"/>
          <w:sz w:val="24"/>
          <w:szCs w:val="24"/>
        </w:rPr>
        <w:t>La hantise de l’incertitude, de l’éphémère, du provisoire</w:t>
      </w:r>
      <w:r w:rsidR="000661D3">
        <w:rPr>
          <w:rFonts w:ascii="Times New Roman" w:hAnsi="Times New Roman" w:cs="Times New Roman"/>
          <w:sz w:val="24"/>
          <w:szCs w:val="24"/>
        </w:rPr>
        <w:t>, du fragile, la difficulté à lire ou déchiffrer la société</w:t>
      </w:r>
      <w:r w:rsidR="00CC52BF">
        <w:rPr>
          <w:rFonts w:ascii="Times New Roman" w:hAnsi="Times New Roman" w:cs="Times New Roman"/>
          <w:sz w:val="24"/>
          <w:szCs w:val="24"/>
        </w:rPr>
        <w:t>, à conjuguer le passé, le présent et l’avenir</w:t>
      </w:r>
      <w:r w:rsidR="000661D3">
        <w:rPr>
          <w:rFonts w:ascii="Times New Roman" w:hAnsi="Times New Roman" w:cs="Times New Roman"/>
          <w:sz w:val="24"/>
          <w:szCs w:val="24"/>
        </w:rPr>
        <w:t xml:space="preserve"> ne nourrissent-</w:t>
      </w:r>
      <w:r w:rsidR="002327FA">
        <w:rPr>
          <w:rFonts w:ascii="Times New Roman" w:hAnsi="Times New Roman" w:cs="Times New Roman"/>
          <w:sz w:val="24"/>
          <w:szCs w:val="24"/>
        </w:rPr>
        <w:t>il</w:t>
      </w:r>
      <w:r w:rsidR="000661D3">
        <w:rPr>
          <w:rFonts w:ascii="Times New Roman" w:hAnsi="Times New Roman" w:cs="Times New Roman"/>
          <w:sz w:val="24"/>
          <w:szCs w:val="24"/>
        </w:rPr>
        <w:t>s pas le moment romantique</w:t>
      </w:r>
      <w:r w:rsidR="00AE3921">
        <w:rPr>
          <w:rFonts w:ascii="Times New Roman" w:hAnsi="Times New Roman" w:cs="Times New Roman"/>
          <w:sz w:val="24"/>
          <w:szCs w:val="24"/>
        </w:rPr>
        <w:t> ?</w:t>
      </w:r>
      <w:r w:rsidR="008B5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E5F5B" w14:textId="243E0632" w:rsidR="0069033E" w:rsidRDefault="0069033E" w:rsidP="008F511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communications privilégieront</w:t>
      </w:r>
      <w:r w:rsidR="005A7AB6">
        <w:rPr>
          <w:rFonts w:ascii="Times New Roman" w:hAnsi="Times New Roman" w:cs="Times New Roman"/>
          <w:sz w:val="24"/>
          <w:szCs w:val="24"/>
        </w:rPr>
        <w:t xml:space="preserve"> donc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7D82F46E" w14:textId="518B2EC7" w:rsidR="0069033E" w:rsidRDefault="0069033E" w:rsidP="0069033E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temps</w:t>
      </w:r>
      <w:r w:rsidR="00B77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les modalités </w:t>
      </w:r>
      <w:r w:rsidR="00B771B8">
        <w:rPr>
          <w:rFonts w:ascii="Times New Roman" w:hAnsi="Times New Roman" w:cs="Times New Roman"/>
          <w:sz w:val="24"/>
          <w:szCs w:val="24"/>
        </w:rPr>
        <w:t xml:space="preserve">et les espaces </w:t>
      </w:r>
      <w:r>
        <w:rPr>
          <w:rFonts w:ascii="Times New Roman" w:hAnsi="Times New Roman" w:cs="Times New Roman"/>
          <w:sz w:val="24"/>
          <w:szCs w:val="24"/>
        </w:rPr>
        <w:t>des reconversions professionnelles</w:t>
      </w:r>
      <w:r w:rsidR="00DD7060">
        <w:rPr>
          <w:rFonts w:ascii="Times New Roman" w:hAnsi="Times New Roman" w:cs="Times New Roman"/>
          <w:sz w:val="24"/>
          <w:szCs w:val="24"/>
        </w:rPr>
        <w:t xml:space="preserve"> </w:t>
      </w:r>
      <w:r w:rsidR="002F3B21">
        <w:rPr>
          <w:rFonts w:ascii="Times New Roman" w:hAnsi="Times New Roman" w:cs="Times New Roman"/>
          <w:sz w:val="24"/>
          <w:szCs w:val="24"/>
        </w:rPr>
        <w:t xml:space="preserve">des hommes et des femmes, </w:t>
      </w:r>
      <w:r w:rsidR="00DD7060">
        <w:rPr>
          <w:rFonts w:ascii="Times New Roman" w:hAnsi="Times New Roman" w:cs="Times New Roman"/>
          <w:sz w:val="24"/>
          <w:szCs w:val="24"/>
        </w:rPr>
        <w:t xml:space="preserve">de la </w:t>
      </w:r>
      <w:r w:rsidR="005A7AB6">
        <w:rPr>
          <w:rFonts w:ascii="Times New Roman" w:hAnsi="Times New Roman" w:cs="Times New Roman"/>
          <w:sz w:val="24"/>
          <w:szCs w:val="24"/>
        </w:rPr>
        <w:t>R</w:t>
      </w:r>
      <w:r w:rsidR="00DD7060">
        <w:rPr>
          <w:rFonts w:ascii="Times New Roman" w:hAnsi="Times New Roman" w:cs="Times New Roman"/>
          <w:sz w:val="24"/>
          <w:szCs w:val="24"/>
        </w:rPr>
        <w:t>évolution française à la Restauration</w:t>
      </w:r>
      <w:r w:rsidR="00637351">
        <w:rPr>
          <w:rFonts w:ascii="Times New Roman" w:hAnsi="Times New Roman" w:cs="Times New Roman"/>
          <w:sz w:val="24"/>
          <w:szCs w:val="24"/>
        </w:rPr>
        <w:t>.</w:t>
      </w:r>
    </w:p>
    <w:p w14:paraId="29389E38" w14:textId="41FEE855" w:rsidR="00637351" w:rsidRDefault="009D4D69" w:rsidP="0069033E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figures du parvenu et du déclassé</w:t>
      </w:r>
      <w:r w:rsidR="00A74C69">
        <w:rPr>
          <w:rFonts w:ascii="Times New Roman" w:hAnsi="Times New Roman" w:cs="Times New Roman"/>
          <w:sz w:val="24"/>
          <w:szCs w:val="24"/>
        </w:rPr>
        <w:t xml:space="preserve">, </w:t>
      </w:r>
      <w:r w:rsidR="000A70E9">
        <w:rPr>
          <w:rFonts w:ascii="Times New Roman" w:hAnsi="Times New Roman" w:cs="Times New Roman"/>
          <w:sz w:val="24"/>
          <w:szCs w:val="24"/>
        </w:rPr>
        <w:t>d</w:t>
      </w:r>
      <w:r w:rsidR="004E7EDB">
        <w:rPr>
          <w:rFonts w:ascii="Times New Roman" w:hAnsi="Times New Roman" w:cs="Times New Roman"/>
          <w:sz w:val="24"/>
          <w:szCs w:val="24"/>
        </w:rPr>
        <w:t>es</w:t>
      </w:r>
      <w:r w:rsidR="000A70E9">
        <w:rPr>
          <w:rFonts w:ascii="Times New Roman" w:hAnsi="Times New Roman" w:cs="Times New Roman"/>
          <w:sz w:val="24"/>
          <w:szCs w:val="24"/>
        </w:rPr>
        <w:t xml:space="preserve"> combattant</w:t>
      </w:r>
      <w:r w:rsidR="004E7EDB">
        <w:rPr>
          <w:rFonts w:ascii="Times New Roman" w:hAnsi="Times New Roman" w:cs="Times New Roman"/>
          <w:sz w:val="24"/>
          <w:szCs w:val="24"/>
        </w:rPr>
        <w:t xml:space="preserve">s et des militants, </w:t>
      </w:r>
      <w:r w:rsidR="00C94FA6">
        <w:rPr>
          <w:rFonts w:ascii="Times New Roman" w:hAnsi="Times New Roman" w:cs="Times New Roman"/>
          <w:sz w:val="24"/>
          <w:szCs w:val="24"/>
        </w:rPr>
        <w:t xml:space="preserve">de l’héritier et de </w:t>
      </w:r>
      <w:r w:rsidR="00B445A6">
        <w:rPr>
          <w:rFonts w:ascii="Times New Roman" w:hAnsi="Times New Roman" w:cs="Times New Roman"/>
          <w:sz w:val="24"/>
          <w:szCs w:val="24"/>
        </w:rPr>
        <w:t xml:space="preserve">l’aventurier (ou de l’inventif), </w:t>
      </w:r>
      <w:r w:rsidR="00A74C69">
        <w:rPr>
          <w:rFonts w:ascii="Times New Roman" w:hAnsi="Times New Roman" w:cs="Times New Roman"/>
          <w:sz w:val="24"/>
          <w:szCs w:val="24"/>
        </w:rPr>
        <w:t>replacées dans leur contexte social et politique, dans leur environnement amical et familial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3018DF" w14:textId="012F2C06" w:rsidR="009D4D69" w:rsidRDefault="00977225" w:rsidP="0069033E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héritages générationnels</w:t>
      </w:r>
      <w:r w:rsidR="00CB1F43">
        <w:rPr>
          <w:rFonts w:ascii="Times New Roman" w:hAnsi="Times New Roman" w:cs="Times New Roman"/>
          <w:sz w:val="24"/>
          <w:szCs w:val="24"/>
        </w:rPr>
        <w:t> : reproduction sociale</w:t>
      </w:r>
      <w:r w:rsidR="00645150">
        <w:rPr>
          <w:rFonts w:ascii="Times New Roman" w:hAnsi="Times New Roman" w:cs="Times New Roman"/>
          <w:sz w:val="24"/>
          <w:szCs w:val="24"/>
        </w:rPr>
        <w:t xml:space="preserve">, résistances aux changements, </w:t>
      </w:r>
      <w:r w:rsidR="00196B51">
        <w:rPr>
          <w:rFonts w:ascii="Times New Roman" w:hAnsi="Times New Roman" w:cs="Times New Roman"/>
          <w:sz w:val="24"/>
          <w:szCs w:val="24"/>
        </w:rPr>
        <w:t xml:space="preserve">naissance de </w:t>
      </w:r>
      <w:r w:rsidR="00645150">
        <w:rPr>
          <w:rFonts w:ascii="Times New Roman" w:hAnsi="Times New Roman" w:cs="Times New Roman"/>
          <w:sz w:val="24"/>
          <w:szCs w:val="24"/>
        </w:rPr>
        <w:t>dynasties économiques et politiques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92157" w14:textId="04BA02AE" w:rsidR="00977225" w:rsidRDefault="00977225" w:rsidP="0069033E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représentation </w:t>
      </w:r>
      <w:r w:rsidR="00554D25">
        <w:rPr>
          <w:rFonts w:ascii="Times New Roman" w:hAnsi="Times New Roman" w:cs="Times New Roman"/>
          <w:sz w:val="24"/>
          <w:szCs w:val="24"/>
        </w:rPr>
        <w:t>littéraire et artistique</w:t>
      </w:r>
      <w:r w:rsidR="009B144B">
        <w:rPr>
          <w:rFonts w:ascii="Times New Roman" w:hAnsi="Times New Roman" w:cs="Times New Roman"/>
          <w:sz w:val="24"/>
          <w:szCs w:val="24"/>
        </w:rPr>
        <w:t xml:space="preserve"> des nouvelles sociétés en gésine.</w:t>
      </w:r>
    </w:p>
    <w:p w14:paraId="6861665C" w14:textId="12BF82A9" w:rsidR="008864A6" w:rsidRPr="005A7AB6" w:rsidRDefault="00FC7C29" w:rsidP="0045642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 colloque sera la première partie d’une manifestation en trois temps. Pareilles interrogations seront conduites</w:t>
      </w:r>
      <w:r w:rsidR="00256E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à l’initiative de Louis Hincker</w:t>
      </w:r>
      <w:r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54C0E"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sur les révolutions de 1830 et de 1848, et une table ronde </w:t>
      </w:r>
      <w:r w:rsidR="00D64C29"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conclusive tentera de distinguer les constantes et les différences entre des périodes marquées par des héritages</w:t>
      </w:r>
      <w:r w:rsidR="00C40568"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et des attentes</w:t>
      </w:r>
      <w:r w:rsidR="00D64C29"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communs, </w:t>
      </w:r>
      <w:r w:rsidR="00C40568"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mais aussi par un contexte économique</w:t>
      </w:r>
      <w:r w:rsidR="00456421"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social</w:t>
      </w:r>
      <w:r w:rsidR="00C40568"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et international </w:t>
      </w:r>
      <w:r w:rsidR="00456421" w:rsidRPr="005A7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très différent.</w:t>
      </w:r>
    </w:p>
    <w:p w14:paraId="46773E53" w14:textId="77777777" w:rsidR="00CC52BF" w:rsidRDefault="00CC52BF" w:rsidP="00CC52B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55A60" w14:textId="137FA02D" w:rsidR="00CC52BF" w:rsidRPr="008851BE" w:rsidRDefault="00962D8A" w:rsidP="00CC52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Comité d’o</w:t>
      </w:r>
      <w:r w:rsidR="00CC52BF" w:rsidRPr="008851BE">
        <w:rPr>
          <w:rFonts w:ascii="Times New Roman" w:hAnsi="Times New Roman" w:cs="Times New Roman"/>
          <w:b/>
          <w:bCs/>
          <w:sz w:val="24"/>
          <w:szCs w:val="24"/>
          <w:u w:val="single"/>
        </w:rPr>
        <w:t>rganisat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ion</w:t>
      </w:r>
      <w:r w:rsidR="00CC52BF" w:rsidRPr="008851BE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4D6F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pour l’Université Clermont Auvergne </w:t>
      </w:r>
      <w:r w:rsidR="00CC52BF" w:rsidRPr="008851B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BBA7F7E" w14:textId="1F134D82" w:rsidR="00CC52BF" w:rsidRDefault="00CC52BF" w:rsidP="00CC52B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Philippe Bourdin, Karine Rance, Cyril Triolaire</w:t>
      </w:r>
      <w:r w:rsidR="00F13F9B">
        <w:rPr>
          <w:rFonts w:ascii="Times New Roman" w:hAnsi="Times New Roman" w:cs="Times New Roman"/>
          <w:sz w:val="24"/>
          <w:szCs w:val="24"/>
        </w:rPr>
        <w:t>, Louis Hincker</w:t>
      </w:r>
    </w:p>
    <w:p w14:paraId="135BCBA7" w14:textId="6FA1989C" w:rsidR="008851BE" w:rsidRDefault="00962D8A" w:rsidP="00CC52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Comité scientifique :</w:t>
      </w:r>
    </w:p>
    <w:p w14:paraId="118C2D9F" w14:textId="13904C65" w:rsidR="00655E61" w:rsidRPr="002C29AA" w:rsidRDefault="00655E61" w:rsidP="00CC52B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9AA">
        <w:rPr>
          <w:rFonts w:ascii="Times New Roman" w:hAnsi="Times New Roman" w:cs="Times New Roman"/>
          <w:sz w:val="24"/>
          <w:szCs w:val="24"/>
        </w:rPr>
        <w:t>Michel Biard</w:t>
      </w:r>
      <w:r w:rsidR="00D26F0B">
        <w:rPr>
          <w:rFonts w:ascii="Times New Roman" w:hAnsi="Times New Roman" w:cs="Times New Roman"/>
          <w:sz w:val="24"/>
          <w:szCs w:val="24"/>
        </w:rPr>
        <w:t xml:space="preserve"> (Université Rouen</w:t>
      </w:r>
      <w:r w:rsidR="004D6F9F">
        <w:rPr>
          <w:rFonts w:ascii="Times New Roman" w:hAnsi="Times New Roman" w:cs="Times New Roman"/>
          <w:sz w:val="24"/>
          <w:szCs w:val="24"/>
        </w:rPr>
        <w:t xml:space="preserve"> </w:t>
      </w:r>
      <w:r w:rsidR="00D26F0B">
        <w:rPr>
          <w:rFonts w:ascii="Times New Roman" w:hAnsi="Times New Roman" w:cs="Times New Roman"/>
          <w:sz w:val="24"/>
          <w:szCs w:val="24"/>
        </w:rPr>
        <w:t>Normandie)</w:t>
      </w:r>
      <w:r w:rsidRPr="002C29AA">
        <w:rPr>
          <w:rFonts w:ascii="Times New Roman" w:hAnsi="Times New Roman" w:cs="Times New Roman"/>
          <w:sz w:val="24"/>
          <w:szCs w:val="24"/>
        </w:rPr>
        <w:t xml:space="preserve">, </w:t>
      </w:r>
      <w:r w:rsidR="00730629">
        <w:rPr>
          <w:rFonts w:ascii="Times New Roman" w:hAnsi="Times New Roman" w:cs="Times New Roman"/>
          <w:sz w:val="24"/>
          <w:szCs w:val="24"/>
        </w:rPr>
        <w:t>Jean-Claude Caron</w:t>
      </w:r>
      <w:r w:rsidR="00D26F0B">
        <w:rPr>
          <w:rFonts w:ascii="Times New Roman" w:hAnsi="Times New Roman" w:cs="Times New Roman"/>
          <w:sz w:val="24"/>
          <w:szCs w:val="24"/>
        </w:rPr>
        <w:t xml:space="preserve"> (Université Clermont</w:t>
      </w:r>
      <w:r w:rsidR="004D6F9F">
        <w:rPr>
          <w:rFonts w:ascii="Times New Roman" w:hAnsi="Times New Roman" w:cs="Times New Roman"/>
          <w:sz w:val="24"/>
          <w:szCs w:val="24"/>
        </w:rPr>
        <w:t xml:space="preserve"> </w:t>
      </w:r>
      <w:r w:rsidR="00045926">
        <w:rPr>
          <w:rFonts w:ascii="Times New Roman" w:hAnsi="Times New Roman" w:cs="Times New Roman"/>
          <w:sz w:val="24"/>
          <w:szCs w:val="24"/>
        </w:rPr>
        <w:t>Auvergne)</w:t>
      </w:r>
      <w:r w:rsidR="00730629">
        <w:rPr>
          <w:rFonts w:ascii="Times New Roman" w:hAnsi="Times New Roman" w:cs="Times New Roman"/>
          <w:sz w:val="24"/>
          <w:szCs w:val="24"/>
        </w:rPr>
        <w:t xml:space="preserve">, </w:t>
      </w:r>
      <w:r w:rsidRPr="002C29AA">
        <w:rPr>
          <w:rFonts w:ascii="Times New Roman" w:hAnsi="Times New Roman" w:cs="Times New Roman"/>
          <w:sz w:val="24"/>
          <w:szCs w:val="24"/>
        </w:rPr>
        <w:t>Jean-Luc Chappey</w:t>
      </w:r>
      <w:r w:rsidR="00045926">
        <w:rPr>
          <w:rFonts w:ascii="Times New Roman" w:hAnsi="Times New Roman" w:cs="Times New Roman"/>
          <w:sz w:val="24"/>
          <w:szCs w:val="24"/>
        </w:rPr>
        <w:t xml:space="preserve"> (Université Paris I-Panthéon-Sorbonne)</w:t>
      </w:r>
      <w:r w:rsidRPr="002C29AA">
        <w:rPr>
          <w:rFonts w:ascii="Times New Roman" w:hAnsi="Times New Roman" w:cs="Times New Roman"/>
          <w:sz w:val="24"/>
          <w:szCs w:val="24"/>
        </w:rPr>
        <w:t xml:space="preserve">, Anne </w:t>
      </w:r>
      <w:proofErr w:type="spellStart"/>
      <w:r w:rsidRPr="002C29AA">
        <w:rPr>
          <w:rFonts w:ascii="Times New Roman" w:hAnsi="Times New Roman" w:cs="Times New Roman"/>
          <w:sz w:val="24"/>
          <w:szCs w:val="24"/>
        </w:rPr>
        <w:t>Conchon</w:t>
      </w:r>
      <w:proofErr w:type="spellEnd"/>
      <w:r w:rsidR="00045926">
        <w:rPr>
          <w:rFonts w:ascii="Times New Roman" w:hAnsi="Times New Roman" w:cs="Times New Roman"/>
          <w:sz w:val="24"/>
          <w:szCs w:val="24"/>
        </w:rPr>
        <w:t xml:space="preserve"> (Université Paris I-Panthéon-Sorbonne)</w:t>
      </w:r>
      <w:r w:rsidRPr="002C29AA">
        <w:rPr>
          <w:rFonts w:ascii="Times New Roman" w:hAnsi="Times New Roman" w:cs="Times New Roman"/>
          <w:sz w:val="24"/>
          <w:szCs w:val="24"/>
        </w:rPr>
        <w:t>, Dominique Godineau</w:t>
      </w:r>
      <w:r w:rsidR="00045926">
        <w:rPr>
          <w:rFonts w:ascii="Times New Roman" w:hAnsi="Times New Roman" w:cs="Times New Roman"/>
          <w:sz w:val="24"/>
          <w:szCs w:val="24"/>
        </w:rPr>
        <w:t xml:space="preserve"> (Université </w:t>
      </w:r>
      <w:r w:rsidR="00AF5B6B">
        <w:rPr>
          <w:rFonts w:ascii="Times New Roman" w:hAnsi="Times New Roman" w:cs="Times New Roman"/>
          <w:sz w:val="24"/>
          <w:szCs w:val="24"/>
        </w:rPr>
        <w:t>Rennes II)</w:t>
      </w:r>
      <w:r w:rsidR="002C29AA" w:rsidRPr="002C29AA">
        <w:rPr>
          <w:rFonts w:ascii="Times New Roman" w:hAnsi="Times New Roman" w:cs="Times New Roman"/>
          <w:sz w:val="24"/>
          <w:szCs w:val="24"/>
        </w:rPr>
        <w:t xml:space="preserve">, </w:t>
      </w:r>
      <w:r w:rsidRPr="002C29AA">
        <w:rPr>
          <w:rFonts w:ascii="Times New Roman" w:hAnsi="Times New Roman" w:cs="Times New Roman"/>
          <w:sz w:val="24"/>
          <w:szCs w:val="24"/>
        </w:rPr>
        <w:t>Hervé Leuwers</w:t>
      </w:r>
      <w:r w:rsidR="007238C6">
        <w:rPr>
          <w:rFonts w:ascii="Times New Roman" w:hAnsi="Times New Roman" w:cs="Times New Roman"/>
          <w:sz w:val="24"/>
          <w:szCs w:val="24"/>
        </w:rPr>
        <w:t xml:space="preserve"> (Université de Lille)</w:t>
      </w:r>
      <w:r w:rsidRPr="002C29AA">
        <w:rPr>
          <w:rFonts w:ascii="Times New Roman" w:hAnsi="Times New Roman" w:cs="Times New Roman"/>
          <w:sz w:val="24"/>
          <w:szCs w:val="24"/>
        </w:rPr>
        <w:t>, Antoine Lilti</w:t>
      </w:r>
      <w:r w:rsidR="007238C6">
        <w:rPr>
          <w:rFonts w:ascii="Times New Roman" w:hAnsi="Times New Roman" w:cs="Times New Roman"/>
          <w:sz w:val="24"/>
          <w:szCs w:val="24"/>
        </w:rPr>
        <w:t xml:space="preserve"> (EHESS)</w:t>
      </w:r>
      <w:r w:rsidRPr="002C29AA">
        <w:rPr>
          <w:rFonts w:ascii="Times New Roman" w:hAnsi="Times New Roman" w:cs="Times New Roman"/>
          <w:sz w:val="24"/>
          <w:szCs w:val="24"/>
        </w:rPr>
        <w:t xml:space="preserve">, </w:t>
      </w:r>
      <w:r w:rsidR="009D5DCD">
        <w:rPr>
          <w:rFonts w:ascii="Times New Roman" w:hAnsi="Times New Roman" w:cs="Times New Roman"/>
          <w:sz w:val="24"/>
          <w:szCs w:val="24"/>
        </w:rPr>
        <w:t>Natalie Petiteau</w:t>
      </w:r>
      <w:r w:rsidR="007238C6">
        <w:rPr>
          <w:rFonts w:ascii="Times New Roman" w:hAnsi="Times New Roman" w:cs="Times New Roman"/>
          <w:sz w:val="24"/>
          <w:szCs w:val="24"/>
        </w:rPr>
        <w:t xml:space="preserve"> (Université d’Avignon)</w:t>
      </w:r>
    </w:p>
    <w:p w14:paraId="6884CD3E" w14:textId="77777777" w:rsidR="00B01A68" w:rsidRPr="00B82B3D" w:rsidRDefault="00B01A68" w:rsidP="008F5115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EE187C" w14:textId="0EE90089" w:rsidR="00B82B3D" w:rsidRPr="00B82B3D" w:rsidRDefault="009D264C" w:rsidP="008F511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B3D">
        <w:rPr>
          <w:rFonts w:ascii="Times New Roman" w:hAnsi="Times New Roman" w:cs="Times New Roman"/>
          <w:i/>
          <w:iCs/>
          <w:sz w:val="28"/>
          <w:szCs w:val="28"/>
        </w:rPr>
        <w:t xml:space="preserve">Les propositions de communications sont à envoyer à Philippe Bourdin </w:t>
      </w:r>
      <w:r w:rsidR="00B840B1">
        <w:rPr>
          <w:rFonts w:ascii="Times New Roman" w:hAnsi="Times New Roman" w:cs="Times New Roman"/>
          <w:i/>
          <w:iCs/>
          <w:sz w:val="28"/>
          <w:szCs w:val="28"/>
        </w:rPr>
        <w:t>(</w:t>
      </w:r>
      <w:hyperlink r:id="rId5" w:history="1">
        <w:r w:rsidR="00FF57F7" w:rsidRPr="00DB7797">
          <w:rPr>
            <w:rStyle w:val="Lienhypertexte"/>
            <w:rFonts w:ascii="Times New Roman" w:hAnsi="Times New Roman" w:cs="Times New Roman"/>
            <w:i/>
            <w:iCs/>
            <w:sz w:val="28"/>
            <w:szCs w:val="28"/>
          </w:rPr>
          <w:t>Philippe.Bourdin@uca.fr</w:t>
        </w:r>
      </w:hyperlink>
      <w:r w:rsidR="00B840B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F53DC2">
        <w:rPr>
          <w:rFonts w:ascii="Times New Roman" w:hAnsi="Times New Roman" w:cs="Times New Roman"/>
          <w:i/>
          <w:iCs/>
          <w:sz w:val="28"/>
          <w:szCs w:val="28"/>
        </w:rPr>
        <w:t>et à Karine Rance (</w:t>
      </w:r>
      <w:hyperlink r:id="rId6" w:history="1">
        <w:r w:rsidR="00B840B1" w:rsidRPr="00DB7797">
          <w:rPr>
            <w:rStyle w:val="Lienhypertexte"/>
            <w:rFonts w:ascii="Times New Roman" w:hAnsi="Times New Roman" w:cs="Times New Roman"/>
            <w:i/>
            <w:iCs/>
            <w:sz w:val="28"/>
            <w:szCs w:val="28"/>
          </w:rPr>
          <w:t>Karine.Rance@uca.fr</w:t>
        </w:r>
      </w:hyperlink>
      <w:r w:rsidR="00B840B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82B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avant le 31</w:t>
      </w:r>
      <w:r w:rsidRPr="00B82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3E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décembre 2022</w:t>
      </w:r>
      <w:r w:rsidR="00FF57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sectPr w:rsidR="00B82B3D" w:rsidRPr="00B8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0B89"/>
    <w:multiLevelType w:val="hybridMultilevel"/>
    <w:tmpl w:val="E85800EE"/>
    <w:lvl w:ilvl="0" w:tplc="F7CC0A1A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5042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15"/>
    <w:rsid w:val="00044749"/>
    <w:rsid w:val="00045926"/>
    <w:rsid w:val="000661D3"/>
    <w:rsid w:val="000A70E9"/>
    <w:rsid w:val="000B10B9"/>
    <w:rsid w:val="000E1C5E"/>
    <w:rsid w:val="0012327C"/>
    <w:rsid w:val="00123327"/>
    <w:rsid w:val="001538F2"/>
    <w:rsid w:val="00196B51"/>
    <w:rsid w:val="001F5139"/>
    <w:rsid w:val="002248C5"/>
    <w:rsid w:val="002327FA"/>
    <w:rsid w:val="0024499E"/>
    <w:rsid w:val="00256E38"/>
    <w:rsid w:val="00265CD9"/>
    <w:rsid w:val="002B0BD9"/>
    <w:rsid w:val="002C29AA"/>
    <w:rsid w:val="002C51EB"/>
    <w:rsid w:val="002F3B21"/>
    <w:rsid w:val="0033029A"/>
    <w:rsid w:val="00372603"/>
    <w:rsid w:val="0038301B"/>
    <w:rsid w:val="00383BDB"/>
    <w:rsid w:val="003A03DA"/>
    <w:rsid w:val="003B69AC"/>
    <w:rsid w:val="003D63A2"/>
    <w:rsid w:val="00412950"/>
    <w:rsid w:val="0043368C"/>
    <w:rsid w:val="00453EE6"/>
    <w:rsid w:val="00456421"/>
    <w:rsid w:val="004643E7"/>
    <w:rsid w:val="00492E93"/>
    <w:rsid w:val="004A666E"/>
    <w:rsid w:val="004A72C9"/>
    <w:rsid w:val="004D348D"/>
    <w:rsid w:val="004D6F9F"/>
    <w:rsid w:val="004E0980"/>
    <w:rsid w:val="004E7EDB"/>
    <w:rsid w:val="00530E54"/>
    <w:rsid w:val="00554D25"/>
    <w:rsid w:val="005675D1"/>
    <w:rsid w:val="005772F8"/>
    <w:rsid w:val="005812FB"/>
    <w:rsid w:val="005A0762"/>
    <w:rsid w:val="005A659E"/>
    <w:rsid w:val="005A7AB6"/>
    <w:rsid w:val="005B7E70"/>
    <w:rsid w:val="005F1814"/>
    <w:rsid w:val="0062094A"/>
    <w:rsid w:val="00637351"/>
    <w:rsid w:val="00645150"/>
    <w:rsid w:val="00655E61"/>
    <w:rsid w:val="0069033E"/>
    <w:rsid w:val="006B3FE2"/>
    <w:rsid w:val="006E0410"/>
    <w:rsid w:val="006E6CD0"/>
    <w:rsid w:val="006E7CF3"/>
    <w:rsid w:val="007238C6"/>
    <w:rsid w:val="00730629"/>
    <w:rsid w:val="007A0904"/>
    <w:rsid w:val="007A2630"/>
    <w:rsid w:val="007F0E5F"/>
    <w:rsid w:val="00804C03"/>
    <w:rsid w:val="008300E8"/>
    <w:rsid w:val="00834930"/>
    <w:rsid w:val="00864F71"/>
    <w:rsid w:val="0087585B"/>
    <w:rsid w:val="008851BE"/>
    <w:rsid w:val="008864A6"/>
    <w:rsid w:val="008A2B00"/>
    <w:rsid w:val="008B5D36"/>
    <w:rsid w:val="008D673A"/>
    <w:rsid w:val="008E00D6"/>
    <w:rsid w:val="008F5115"/>
    <w:rsid w:val="00907997"/>
    <w:rsid w:val="009152CB"/>
    <w:rsid w:val="00920E17"/>
    <w:rsid w:val="009215C3"/>
    <w:rsid w:val="00926660"/>
    <w:rsid w:val="009426E3"/>
    <w:rsid w:val="00947E69"/>
    <w:rsid w:val="0095762F"/>
    <w:rsid w:val="00962D8A"/>
    <w:rsid w:val="00976091"/>
    <w:rsid w:val="00977225"/>
    <w:rsid w:val="00995B6B"/>
    <w:rsid w:val="009B06DF"/>
    <w:rsid w:val="009B144B"/>
    <w:rsid w:val="009D264C"/>
    <w:rsid w:val="009D4D69"/>
    <w:rsid w:val="009D5DCD"/>
    <w:rsid w:val="00A01CFA"/>
    <w:rsid w:val="00A24A2C"/>
    <w:rsid w:val="00A35928"/>
    <w:rsid w:val="00A74C69"/>
    <w:rsid w:val="00A76016"/>
    <w:rsid w:val="00AB53E0"/>
    <w:rsid w:val="00AE3921"/>
    <w:rsid w:val="00AF5B6B"/>
    <w:rsid w:val="00B01A68"/>
    <w:rsid w:val="00B128F5"/>
    <w:rsid w:val="00B17AE5"/>
    <w:rsid w:val="00B27A77"/>
    <w:rsid w:val="00B3350E"/>
    <w:rsid w:val="00B4269F"/>
    <w:rsid w:val="00B445A6"/>
    <w:rsid w:val="00B53320"/>
    <w:rsid w:val="00B771B8"/>
    <w:rsid w:val="00B82B3D"/>
    <w:rsid w:val="00B840B1"/>
    <w:rsid w:val="00B96BF8"/>
    <w:rsid w:val="00C11104"/>
    <w:rsid w:val="00C27FD1"/>
    <w:rsid w:val="00C40568"/>
    <w:rsid w:val="00C71B4B"/>
    <w:rsid w:val="00C94FA6"/>
    <w:rsid w:val="00CB1F43"/>
    <w:rsid w:val="00CB41F7"/>
    <w:rsid w:val="00CC52BF"/>
    <w:rsid w:val="00CC6935"/>
    <w:rsid w:val="00CD1F70"/>
    <w:rsid w:val="00D26F0B"/>
    <w:rsid w:val="00D316DD"/>
    <w:rsid w:val="00D64C29"/>
    <w:rsid w:val="00D976D8"/>
    <w:rsid w:val="00DD7060"/>
    <w:rsid w:val="00DE21E3"/>
    <w:rsid w:val="00DF03AC"/>
    <w:rsid w:val="00E13563"/>
    <w:rsid w:val="00E36BE8"/>
    <w:rsid w:val="00E41D9E"/>
    <w:rsid w:val="00E510EE"/>
    <w:rsid w:val="00E54C0E"/>
    <w:rsid w:val="00E660DD"/>
    <w:rsid w:val="00E75002"/>
    <w:rsid w:val="00ED2D9D"/>
    <w:rsid w:val="00ED4F53"/>
    <w:rsid w:val="00EE3414"/>
    <w:rsid w:val="00F03545"/>
    <w:rsid w:val="00F0751B"/>
    <w:rsid w:val="00F13F9B"/>
    <w:rsid w:val="00F53DC2"/>
    <w:rsid w:val="00F53E3C"/>
    <w:rsid w:val="00F57B10"/>
    <w:rsid w:val="00F83471"/>
    <w:rsid w:val="00F86133"/>
    <w:rsid w:val="00FA177A"/>
    <w:rsid w:val="00FB0332"/>
    <w:rsid w:val="00FB6B9D"/>
    <w:rsid w:val="00FC2799"/>
    <w:rsid w:val="00FC7C29"/>
    <w:rsid w:val="00FF1A80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2A58"/>
  <w15:chartTrackingRefBased/>
  <w15:docId w15:val="{EFDBA0E8-3F32-4A73-8300-BEC15B6B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03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2B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e.Rance@uca.fr" TargetMode="External"/><Relationship Id="rId5" Type="http://schemas.openxmlformats.org/officeDocument/2006/relationships/hyperlink" Target="mailto:Philippe.Bourdin@uca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1132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BOURDIN</dc:creator>
  <cp:keywords/>
  <dc:description/>
  <cp:lastModifiedBy>Philippe BOURDIN</cp:lastModifiedBy>
  <cp:revision>149</cp:revision>
  <dcterms:created xsi:type="dcterms:W3CDTF">2022-01-04T15:41:00Z</dcterms:created>
  <dcterms:modified xsi:type="dcterms:W3CDTF">2022-05-19T07:55:00Z</dcterms:modified>
</cp:coreProperties>
</file>